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1762" w14:textId="77777777" w:rsidR="00576D4B" w:rsidRDefault="00576D4B">
      <w:pPr>
        <w:rPr>
          <w:b/>
          <w:sz w:val="52"/>
        </w:rPr>
      </w:pPr>
    </w:p>
    <w:p w14:paraId="1932A1C1" w14:textId="3E2E51E2" w:rsidR="008C6FCF" w:rsidRPr="00576D4B" w:rsidRDefault="00000000">
      <w:pPr>
        <w:rPr>
          <w:rFonts w:ascii="Aptos" w:hAnsi="Aptos"/>
        </w:rPr>
      </w:pPr>
      <w:r w:rsidRPr="00576D4B">
        <w:rPr>
          <w:rFonts w:ascii="Aptos" w:hAnsi="Aptos"/>
          <w:b/>
          <w:sz w:val="52"/>
        </w:rPr>
        <w:t>CAPABILITY STATEMENT</w:t>
      </w:r>
    </w:p>
    <w:p w14:paraId="467434DE" w14:textId="77777777" w:rsidR="008C6FCF" w:rsidRPr="00576D4B" w:rsidRDefault="00000000">
      <w:pPr>
        <w:rPr>
          <w:rFonts w:ascii="Aptos" w:hAnsi="Aptos"/>
        </w:rPr>
      </w:pPr>
      <w:r w:rsidRPr="00576D4B">
        <w:rPr>
          <w:rFonts w:ascii="Aptos" w:hAnsi="Aptos"/>
          <w:sz w:val="24"/>
        </w:rPr>
        <w:t>Infrastructure &amp; Natural Resources Advisory</w:t>
      </w:r>
    </w:p>
    <w:p w14:paraId="731CF49F" w14:textId="77777777" w:rsidR="008C6FCF" w:rsidRPr="00576D4B" w:rsidRDefault="008C6FCF">
      <w:pPr>
        <w:rPr>
          <w:rFonts w:ascii="Aptos" w:hAnsi="Aptos"/>
        </w:rPr>
      </w:pPr>
    </w:p>
    <w:p w14:paraId="38E17F02" w14:textId="77777777" w:rsidR="008C6FCF" w:rsidRPr="00576D4B" w:rsidRDefault="00000000">
      <w:pPr>
        <w:rPr>
          <w:rFonts w:ascii="Aptos" w:hAnsi="Aptos"/>
        </w:rPr>
      </w:pPr>
      <w:r w:rsidRPr="00576D4B">
        <w:rPr>
          <w:rFonts w:ascii="Aptos" w:hAnsi="Aptos"/>
        </w:rPr>
        <w:t>Matara B.A. provides technically rigorous, commercially grounded, and regulator-ready advisory services to mining companies, investors, and financiers globally.</w:t>
      </w:r>
    </w:p>
    <w:p w14:paraId="3DD24452" w14:textId="77777777" w:rsidR="008C6FCF" w:rsidRPr="00576D4B" w:rsidRDefault="008C6FCF">
      <w:pPr>
        <w:rPr>
          <w:rFonts w:ascii="Aptos" w:hAnsi="Aptos"/>
        </w:rPr>
      </w:pPr>
    </w:p>
    <w:p w14:paraId="4693DA66" w14:textId="77777777" w:rsidR="008C6FCF" w:rsidRPr="00576D4B" w:rsidRDefault="00000000">
      <w:pPr>
        <w:rPr>
          <w:rFonts w:ascii="Aptos" w:hAnsi="Aptos"/>
        </w:rPr>
      </w:pPr>
      <w:r w:rsidRPr="00576D4B">
        <w:rPr>
          <w:rFonts w:ascii="Aptos" w:hAnsi="Aptos"/>
        </w:rPr>
        <w:t>Primary Contact</w:t>
      </w:r>
    </w:p>
    <w:tbl>
      <w:tblPr>
        <w:tblStyle w:val="TableGrid"/>
        <w:tblW w:w="0" w:type="auto"/>
        <w:jc w:val="center"/>
        <w:tblLook w:val="04A0" w:firstRow="1" w:lastRow="0" w:firstColumn="1" w:lastColumn="0" w:noHBand="0" w:noVBand="1"/>
      </w:tblPr>
      <w:tblGrid>
        <w:gridCol w:w="3402"/>
        <w:gridCol w:w="6678"/>
      </w:tblGrid>
      <w:tr w:rsidR="008C6FCF" w:rsidRPr="00576D4B" w14:paraId="7740D13E" w14:textId="77777777" w:rsidTr="00576D4B">
        <w:trPr>
          <w:jc w:val="center"/>
        </w:trPr>
        <w:tc>
          <w:tcPr>
            <w:tcW w:w="3402" w:type="dxa"/>
          </w:tcPr>
          <w:p w14:paraId="312E6860" w14:textId="77777777" w:rsidR="008C6FCF" w:rsidRPr="00576D4B" w:rsidRDefault="00000000">
            <w:pPr>
              <w:rPr>
                <w:rFonts w:ascii="Aptos" w:hAnsi="Aptos"/>
              </w:rPr>
            </w:pPr>
            <w:r w:rsidRPr="00576D4B">
              <w:rPr>
                <w:rFonts w:ascii="Aptos" w:hAnsi="Aptos"/>
                <w:sz w:val="20"/>
              </w:rPr>
              <w:t>Principal Mining Engineer</w:t>
            </w:r>
          </w:p>
        </w:tc>
        <w:tc>
          <w:tcPr>
            <w:tcW w:w="6678" w:type="dxa"/>
          </w:tcPr>
          <w:p w14:paraId="5C67053D" w14:textId="77777777" w:rsidR="008C6FCF" w:rsidRPr="00576D4B" w:rsidRDefault="00000000">
            <w:pPr>
              <w:rPr>
                <w:rFonts w:ascii="Aptos" w:hAnsi="Aptos"/>
              </w:rPr>
            </w:pPr>
            <w:r w:rsidRPr="00576D4B">
              <w:rPr>
                <w:rFonts w:ascii="Aptos" w:hAnsi="Aptos"/>
                <w:sz w:val="20"/>
              </w:rPr>
              <w:t>Jan Dharmabandu MSc | FIMMM | CEnv | CEng | EUR ING | MAusIMM</w:t>
            </w:r>
          </w:p>
        </w:tc>
      </w:tr>
      <w:tr w:rsidR="008C6FCF" w:rsidRPr="00576D4B" w14:paraId="4C1AACAF" w14:textId="77777777" w:rsidTr="00576D4B">
        <w:trPr>
          <w:jc w:val="center"/>
        </w:trPr>
        <w:tc>
          <w:tcPr>
            <w:tcW w:w="3402" w:type="dxa"/>
          </w:tcPr>
          <w:p w14:paraId="0CA840CC" w14:textId="77777777" w:rsidR="008C6FCF" w:rsidRPr="00576D4B" w:rsidRDefault="00000000">
            <w:pPr>
              <w:rPr>
                <w:rFonts w:ascii="Aptos" w:hAnsi="Aptos"/>
              </w:rPr>
            </w:pPr>
            <w:r w:rsidRPr="00576D4B">
              <w:rPr>
                <w:rFonts w:ascii="Aptos" w:hAnsi="Aptos"/>
                <w:sz w:val="20"/>
              </w:rPr>
              <w:t>Email</w:t>
            </w:r>
          </w:p>
        </w:tc>
        <w:tc>
          <w:tcPr>
            <w:tcW w:w="6678" w:type="dxa"/>
          </w:tcPr>
          <w:p w14:paraId="2DCA7C98" w14:textId="77777777" w:rsidR="008C6FCF" w:rsidRPr="00576D4B" w:rsidRDefault="00000000">
            <w:pPr>
              <w:rPr>
                <w:rFonts w:ascii="Aptos" w:hAnsi="Aptos"/>
              </w:rPr>
            </w:pPr>
            <w:r w:rsidRPr="00576D4B">
              <w:rPr>
                <w:rFonts w:ascii="Aptos" w:hAnsi="Aptos"/>
                <w:sz w:val="20"/>
              </w:rPr>
              <w:t>jan.dharmabandu@gmail.com</w:t>
            </w:r>
          </w:p>
        </w:tc>
      </w:tr>
      <w:tr w:rsidR="008C6FCF" w:rsidRPr="00576D4B" w14:paraId="70C5C3E0" w14:textId="77777777" w:rsidTr="00576D4B">
        <w:trPr>
          <w:jc w:val="center"/>
        </w:trPr>
        <w:tc>
          <w:tcPr>
            <w:tcW w:w="3402" w:type="dxa"/>
          </w:tcPr>
          <w:p w14:paraId="365F8AC5" w14:textId="77777777" w:rsidR="008C6FCF" w:rsidRPr="00576D4B" w:rsidRDefault="00000000">
            <w:pPr>
              <w:rPr>
                <w:rFonts w:ascii="Aptos" w:hAnsi="Aptos"/>
              </w:rPr>
            </w:pPr>
            <w:r w:rsidRPr="00576D4B">
              <w:rPr>
                <w:rFonts w:ascii="Aptos" w:hAnsi="Aptos"/>
                <w:sz w:val="20"/>
              </w:rPr>
              <w:t>Locations</w:t>
            </w:r>
          </w:p>
        </w:tc>
        <w:tc>
          <w:tcPr>
            <w:tcW w:w="6678" w:type="dxa"/>
          </w:tcPr>
          <w:p w14:paraId="0A5B6F34" w14:textId="77777777" w:rsidR="008C6FCF" w:rsidRPr="00576D4B" w:rsidRDefault="00000000">
            <w:pPr>
              <w:rPr>
                <w:rFonts w:ascii="Aptos" w:hAnsi="Aptos"/>
              </w:rPr>
            </w:pPr>
            <w:r w:rsidRPr="00576D4B">
              <w:rPr>
                <w:rFonts w:ascii="Aptos" w:hAnsi="Aptos"/>
                <w:sz w:val="20"/>
              </w:rPr>
              <w:t>Perth, Australia | Oulu, Finland</w:t>
            </w:r>
          </w:p>
        </w:tc>
      </w:tr>
    </w:tbl>
    <w:p w14:paraId="6DF86C19" w14:textId="77777777" w:rsidR="008C6FCF" w:rsidRPr="00576D4B" w:rsidRDefault="008C6FCF">
      <w:pPr>
        <w:rPr>
          <w:rFonts w:ascii="Aptos" w:hAnsi="Aptos"/>
        </w:rPr>
      </w:pPr>
    </w:p>
    <w:p w14:paraId="6E57E182" w14:textId="77777777" w:rsidR="008C6FCF" w:rsidRPr="00576D4B" w:rsidRDefault="008C6FCF">
      <w:pPr>
        <w:rPr>
          <w:rFonts w:ascii="Aptos" w:hAnsi="Aptos"/>
        </w:rPr>
      </w:pPr>
    </w:p>
    <w:p w14:paraId="3C731DC1" w14:textId="77777777" w:rsidR="008C6FCF" w:rsidRPr="00576D4B" w:rsidRDefault="00000000">
      <w:pPr>
        <w:rPr>
          <w:rFonts w:ascii="Aptos" w:hAnsi="Aptos"/>
        </w:rPr>
      </w:pPr>
      <w:r w:rsidRPr="00576D4B">
        <w:rPr>
          <w:rFonts w:ascii="Aptos" w:hAnsi="Aptos"/>
        </w:rPr>
        <w:t>Version: 1.0 | Date: 22 December 2025</w:t>
      </w:r>
    </w:p>
    <w:p w14:paraId="274953C0" w14:textId="77777777" w:rsidR="008C6FCF" w:rsidRPr="00576D4B" w:rsidRDefault="00000000">
      <w:pPr>
        <w:rPr>
          <w:rFonts w:ascii="Aptos" w:hAnsi="Aptos"/>
        </w:rPr>
      </w:pPr>
      <w:r w:rsidRPr="00576D4B">
        <w:rPr>
          <w:rFonts w:ascii="Aptos" w:hAnsi="Aptos"/>
        </w:rPr>
        <w:br w:type="page"/>
      </w:r>
    </w:p>
    <w:p w14:paraId="431EB009" w14:textId="77777777" w:rsidR="008C6FCF" w:rsidRPr="00576D4B" w:rsidRDefault="00000000">
      <w:pPr>
        <w:pStyle w:val="Heading1"/>
        <w:rPr>
          <w:rFonts w:ascii="Aptos" w:hAnsi="Aptos"/>
        </w:rPr>
      </w:pPr>
      <w:r w:rsidRPr="00576D4B">
        <w:rPr>
          <w:rFonts w:ascii="Aptos" w:hAnsi="Aptos"/>
        </w:rPr>
        <w:lastRenderedPageBreak/>
        <w:t>Company Overview</w:t>
      </w:r>
    </w:p>
    <w:p w14:paraId="0B542775" w14:textId="77777777" w:rsidR="008C6FCF" w:rsidRPr="00576D4B" w:rsidRDefault="00000000">
      <w:pPr>
        <w:rPr>
          <w:rFonts w:ascii="Aptos" w:hAnsi="Aptos"/>
        </w:rPr>
      </w:pPr>
      <w:r w:rsidRPr="00576D4B">
        <w:rPr>
          <w:rFonts w:ascii="Aptos" w:hAnsi="Aptos"/>
        </w:rPr>
        <w:t>Matara B.A. is a newly established, independent mineral sector consulting company delivering high-value technical, commercial, and strategic advisory services across the mining industry. The firm supports clients across the project lifecycle—concept definition, studies, permitting, execution readiness, expansions, optimization, and divestment.</w:t>
      </w:r>
    </w:p>
    <w:p w14:paraId="367A7358" w14:textId="77777777" w:rsidR="008C6FCF" w:rsidRPr="00576D4B" w:rsidRDefault="00000000">
      <w:pPr>
        <w:pStyle w:val="Heading2"/>
        <w:rPr>
          <w:rFonts w:ascii="Aptos" w:hAnsi="Aptos"/>
        </w:rPr>
      </w:pPr>
      <w:r w:rsidRPr="00576D4B">
        <w:rPr>
          <w:rFonts w:ascii="Aptos" w:hAnsi="Aptos"/>
        </w:rPr>
        <w:t>What We Do</w:t>
      </w:r>
    </w:p>
    <w:p w14:paraId="12A7C785" w14:textId="77777777" w:rsidR="008C6FCF" w:rsidRPr="00576D4B" w:rsidRDefault="00000000">
      <w:pPr>
        <w:pStyle w:val="ListBullet"/>
        <w:rPr>
          <w:rFonts w:ascii="Aptos" w:hAnsi="Aptos"/>
        </w:rPr>
      </w:pPr>
      <w:r w:rsidRPr="00576D4B">
        <w:rPr>
          <w:rFonts w:ascii="Aptos" w:hAnsi="Aptos"/>
        </w:rPr>
        <w:t>Develop investment-grade studies and business cases (Concept, PEA, PFS, DFS and optimisation).</w:t>
      </w:r>
    </w:p>
    <w:p w14:paraId="499DF6E8" w14:textId="77777777" w:rsidR="008C6FCF" w:rsidRPr="00576D4B" w:rsidRDefault="00000000">
      <w:pPr>
        <w:pStyle w:val="ListBullet"/>
        <w:rPr>
          <w:rFonts w:ascii="Aptos" w:hAnsi="Aptos"/>
        </w:rPr>
      </w:pPr>
      <w:r w:rsidRPr="00576D4B">
        <w:rPr>
          <w:rFonts w:ascii="Aptos" w:hAnsi="Aptos"/>
        </w:rPr>
        <w:t>Integrate technical, commercial, and regulatory requirements into executable development pathways.</w:t>
      </w:r>
    </w:p>
    <w:p w14:paraId="4C1607F5" w14:textId="77777777" w:rsidR="008C6FCF" w:rsidRPr="00576D4B" w:rsidRDefault="00000000">
      <w:pPr>
        <w:pStyle w:val="ListBullet"/>
        <w:rPr>
          <w:rFonts w:ascii="Aptos" w:hAnsi="Aptos"/>
        </w:rPr>
      </w:pPr>
      <w:r w:rsidRPr="00576D4B">
        <w:rPr>
          <w:rFonts w:ascii="Aptos" w:hAnsi="Aptos"/>
        </w:rPr>
        <w:t>Support boards, executives, and investors with valuations, due diligence, and decision frameworks.</w:t>
      </w:r>
    </w:p>
    <w:p w14:paraId="043C2E81" w14:textId="77777777" w:rsidR="008C6FCF" w:rsidRPr="00576D4B" w:rsidRDefault="00000000">
      <w:pPr>
        <w:pStyle w:val="ListBullet"/>
        <w:rPr>
          <w:rFonts w:ascii="Aptos" w:hAnsi="Aptos"/>
        </w:rPr>
      </w:pPr>
      <w:r w:rsidRPr="00576D4B">
        <w:rPr>
          <w:rFonts w:ascii="Aptos" w:hAnsi="Aptos"/>
        </w:rPr>
        <w:t>Provide independent review, audit, and sign-off services aligned to leading reporting codes.</w:t>
      </w:r>
    </w:p>
    <w:p w14:paraId="13D0BEF1" w14:textId="77777777" w:rsidR="008C6FCF" w:rsidRPr="00576D4B" w:rsidRDefault="00000000">
      <w:pPr>
        <w:pStyle w:val="Heading2"/>
        <w:rPr>
          <w:rFonts w:ascii="Aptos" w:hAnsi="Aptos"/>
        </w:rPr>
      </w:pPr>
      <w:r w:rsidRPr="00576D4B">
        <w:rPr>
          <w:rFonts w:ascii="Aptos" w:hAnsi="Aptos"/>
        </w:rPr>
        <w:t>Client Outcomes</w:t>
      </w:r>
    </w:p>
    <w:p w14:paraId="4A39E03E" w14:textId="77777777" w:rsidR="008C6FCF" w:rsidRPr="00576D4B" w:rsidRDefault="00000000">
      <w:pPr>
        <w:pStyle w:val="ListBullet"/>
        <w:rPr>
          <w:rFonts w:ascii="Aptos" w:hAnsi="Aptos"/>
        </w:rPr>
      </w:pPr>
      <w:r w:rsidRPr="00576D4B">
        <w:rPr>
          <w:rFonts w:ascii="Aptos" w:hAnsi="Aptos"/>
        </w:rPr>
        <w:t>Improved capital allocation decisions through robust technical-economic justification.</w:t>
      </w:r>
    </w:p>
    <w:p w14:paraId="295C894F" w14:textId="77777777" w:rsidR="008C6FCF" w:rsidRPr="00576D4B" w:rsidRDefault="00000000">
      <w:pPr>
        <w:pStyle w:val="ListBullet"/>
        <w:rPr>
          <w:rFonts w:ascii="Aptos" w:hAnsi="Aptos"/>
        </w:rPr>
      </w:pPr>
      <w:r w:rsidRPr="00576D4B">
        <w:rPr>
          <w:rFonts w:ascii="Aptos" w:hAnsi="Aptos"/>
        </w:rPr>
        <w:t>Reduced schedule and permitting risk through regulator-aligned strategies and documentation.</w:t>
      </w:r>
    </w:p>
    <w:p w14:paraId="5E0C6CEC" w14:textId="77777777" w:rsidR="008C6FCF" w:rsidRPr="00576D4B" w:rsidRDefault="00000000">
      <w:pPr>
        <w:pStyle w:val="ListBullet"/>
        <w:rPr>
          <w:rFonts w:ascii="Aptos" w:hAnsi="Aptos"/>
        </w:rPr>
      </w:pPr>
      <w:r w:rsidRPr="00576D4B">
        <w:rPr>
          <w:rFonts w:ascii="Aptos" w:hAnsi="Aptos"/>
        </w:rPr>
        <w:t>Higher confidence reserve and life-of-mine plans via disciplined technical governance.</w:t>
      </w:r>
    </w:p>
    <w:p w14:paraId="1DBB6FAE" w14:textId="77777777" w:rsidR="008C6FCF" w:rsidRPr="00576D4B" w:rsidRDefault="00000000">
      <w:pPr>
        <w:pStyle w:val="ListBullet"/>
        <w:rPr>
          <w:rFonts w:ascii="Aptos" w:hAnsi="Aptos"/>
        </w:rPr>
      </w:pPr>
      <w:r w:rsidRPr="00576D4B">
        <w:rPr>
          <w:rFonts w:ascii="Aptos" w:hAnsi="Aptos"/>
        </w:rPr>
        <w:t>Enhanced value realisation in M&amp;A and divestments through evidence-based valuation inputs.</w:t>
      </w:r>
    </w:p>
    <w:p w14:paraId="3AB826CD" w14:textId="77777777" w:rsidR="008C6FCF" w:rsidRPr="00576D4B" w:rsidRDefault="00000000">
      <w:pPr>
        <w:rPr>
          <w:rFonts w:ascii="Aptos" w:hAnsi="Aptos"/>
        </w:rPr>
      </w:pPr>
      <w:r w:rsidRPr="00576D4B">
        <w:rPr>
          <w:rFonts w:ascii="Aptos" w:hAnsi="Aptos"/>
        </w:rPr>
        <w:br w:type="page"/>
      </w:r>
    </w:p>
    <w:p w14:paraId="45B54FFA" w14:textId="77777777" w:rsidR="008C6FCF" w:rsidRPr="00576D4B" w:rsidRDefault="00000000">
      <w:pPr>
        <w:pStyle w:val="Heading1"/>
        <w:rPr>
          <w:rFonts w:ascii="Aptos" w:hAnsi="Aptos"/>
        </w:rPr>
      </w:pPr>
      <w:r w:rsidRPr="00576D4B">
        <w:rPr>
          <w:rFonts w:ascii="Aptos" w:hAnsi="Aptos"/>
        </w:rPr>
        <w:lastRenderedPageBreak/>
        <w:t>Core Capabilities</w:t>
      </w:r>
    </w:p>
    <w:p w14:paraId="57CA0AED" w14:textId="77777777" w:rsidR="008C6FCF" w:rsidRPr="00576D4B" w:rsidRDefault="00000000" w:rsidP="00576D4B">
      <w:pPr>
        <w:pStyle w:val="ListBullet"/>
        <w:numPr>
          <w:ilvl w:val="0"/>
          <w:numId w:val="10"/>
        </w:numPr>
        <w:rPr>
          <w:rFonts w:ascii="Aptos" w:hAnsi="Aptos"/>
        </w:rPr>
      </w:pPr>
      <w:r w:rsidRPr="00576D4B">
        <w:rPr>
          <w:rFonts w:ascii="Aptos" w:hAnsi="Aptos"/>
        </w:rPr>
        <w:t>Project Development / Expansions</w:t>
      </w:r>
    </w:p>
    <w:p w14:paraId="7D120F85" w14:textId="77777777" w:rsidR="008C6FCF" w:rsidRPr="00576D4B" w:rsidRDefault="00000000" w:rsidP="00576D4B">
      <w:pPr>
        <w:pStyle w:val="ListBullet"/>
        <w:numPr>
          <w:ilvl w:val="0"/>
          <w:numId w:val="10"/>
        </w:numPr>
        <w:rPr>
          <w:rFonts w:ascii="Aptos" w:hAnsi="Aptos"/>
        </w:rPr>
      </w:pPr>
      <w:r w:rsidRPr="00576D4B">
        <w:rPr>
          <w:rFonts w:ascii="Aptos" w:hAnsi="Aptos"/>
        </w:rPr>
        <w:t>General Management and Technical Services Management</w:t>
      </w:r>
    </w:p>
    <w:p w14:paraId="38EA50F6" w14:textId="77777777" w:rsidR="008C6FCF" w:rsidRPr="00576D4B" w:rsidRDefault="00000000" w:rsidP="00576D4B">
      <w:pPr>
        <w:pStyle w:val="ListBullet"/>
        <w:numPr>
          <w:ilvl w:val="0"/>
          <w:numId w:val="10"/>
        </w:numPr>
        <w:rPr>
          <w:rFonts w:ascii="Aptos" w:hAnsi="Aptos"/>
        </w:rPr>
      </w:pPr>
      <w:r w:rsidRPr="00576D4B">
        <w:rPr>
          <w:rFonts w:ascii="Aptos" w:hAnsi="Aptos"/>
        </w:rPr>
        <w:t>Budgeting and Reconciliation; Capital and Operating Cost Frameworks</w:t>
      </w:r>
    </w:p>
    <w:p w14:paraId="1030B9B9" w14:textId="0B061F37" w:rsidR="008C6FCF" w:rsidRPr="00576D4B" w:rsidRDefault="00000000" w:rsidP="00576D4B">
      <w:pPr>
        <w:pStyle w:val="ListBullet"/>
        <w:numPr>
          <w:ilvl w:val="0"/>
          <w:numId w:val="10"/>
        </w:numPr>
        <w:rPr>
          <w:rFonts w:ascii="Aptos" w:hAnsi="Aptos"/>
        </w:rPr>
      </w:pPr>
      <w:r w:rsidRPr="00576D4B">
        <w:rPr>
          <w:rFonts w:ascii="Aptos" w:hAnsi="Aptos"/>
        </w:rPr>
        <w:t>Business Case Development</w:t>
      </w:r>
      <w:r w:rsidR="00576D4B" w:rsidRPr="00576D4B">
        <w:rPr>
          <w:rFonts w:ascii="Aptos" w:hAnsi="Aptos"/>
        </w:rPr>
        <w:t xml:space="preserve">; Asset </w:t>
      </w:r>
      <w:r w:rsidRPr="00576D4B">
        <w:rPr>
          <w:rFonts w:ascii="Aptos" w:hAnsi="Aptos"/>
        </w:rPr>
        <w:t>Valuations; Studies and Audits</w:t>
      </w:r>
    </w:p>
    <w:p w14:paraId="3851A535" w14:textId="77777777" w:rsidR="008C6FCF" w:rsidRPr="00576D4B" w:rsidRDefault="00000000" w:rsidP="00576D4B">
      <w:pPr>
        <w:pStyle w:val="ListBullet"/>
        <w:numPr>
          <w:ilvl w:val="0"/>
          <w:numId w:val="10"/>
        </w:numPr>
        <w:rPr>
          <w:rFonts w:ascii="Aptos" w:hAnsi="Aptos"/>
        </w:rPr>
      </w:pPr>
      <w:r w:rsidRPr="00576D4B">
        <w:rPr>
          <w:rFonts w:ascii="Aptos" w:hAnsi="Aptos"/>
        </w:rPr>
        <w:t>Modelling of Technical and Business Processes (e.g., IDEF0)</w:t>
      </w:r>
    </w:p>
    <w:p w14:paraId="2F3BA22B" w14:textId="77777777" w:rsidR="008C6FCF" w:rsidRPr="00576D4B" w:rsidRDefault="00000000" w:rsidP="00576D4B">
      <w:pPr>
        <w:pStyle w:val="ListBullet"/>
        <w:numPr>
          <w:ilvl w:val="0"/>
          <w:numId w:val="10"/>
        </w:numPr>
        <w:rPr>
          <w:rFonts w:ascii="Aptos" w:hAnsi="Aptos"/>
        </w:rPr>
      </w:pPr>
      <w:r w:rsidRPr="00576D4B">
        <w:rPr>
          <w:rFonts w:ascii="Aptos" w:hAnsi="Aptos"/>
        </w:rPr>
        <w:t>Hydrological &amp; Geotechnical Risk; Water Modelling</w:t>
      </w:r>
    </w:p>
    <w:p w14:paraId="1DC92324" w14:textId="77777777" w:rsidR="008C6FCF" w:rsidRPr="00576D4B" w:rsidRDefault="00000000" w:rsidP="00576D4B">
      <w:pPr>
        <w:pStyle w:val="ListBullet"/>
        <w:numPr>
          <w:ilvl w:val="0"/>
          <w:numId w:val="10"/>
        </w:numPr>
        <w:rPr>
          <w:rFonts w:ascii="Aptos" w:hAnsi="Aptos"/>
        </w:rPr>
      </w:pPr>
      <w:r w:rsidRPr="00576D4B">
        <w:rPr>
          <w:rFonts w:ascii="Aptos" w:hAnsi="Aptos"/>
        </w:rPr>
        <w:t>CIM Guidelines / CIMVal / NI 43-101 Support</w:t>
      </w:r>
    </w:p>
    <w:p w14:paraId="4855D58C" w14:textId="77777777" w:rsidR="008C6FCF" w:rsidRPr="00576D4B" w:rsidRDefault="00000000" w:rsidP="00576D4B">
      <w:pPr>
        <w:pStyle w:val="ListBullet"/>
        <w:numPr>
          <w:ilvl w:val="0"/>
          <w:numId w:val="10"/>
        </w:numPr>
        <w:rPr>
          <w:rFonts w:ascii="Aptos" w:hAnsi="Aptos"/>
        </w:rPr>
      </w:pPr>
      <w:r w:rsidRPr="00576D4B">
        <w:rPr>
          <w:rFonts w:ascii="Aptos" w:hAnsi="Aptos"/>
        </w:rPr>
        <w:t>Financial Modelling (Deterministic and Probabilistic)</w:t>
      </w:r>
    </w:p>
    <w:p w14:paraId="1FEE41EA" w14:textId="77777777" w:rsidR="008C6FCF" w:rsidRPr="00576D4B" w:rsidRDefault="00000000" w:rsidP="00576D4B">
      <w:pPr>
        <w:pStyle w:val="ListBullet"/>
        <w:numPr>
          <w:ilvl w:val="0"/>
          <w:numId w:val="10"/>
        </w:numPr>
        <w:rPr>
          <w:rFonts w:ascii="Aptos" w:hAnsi="Aptos"/>
        </w:rPr>
      </w:pPr>
      <w:r w:rsidRPr="00576D4B">
        <w:rPr>
          <w:rFonts w:ascii="Aptos" w:hAnsi="Aptos"/>
        </w:rPr>
        <w:t xml:space="preserve">Gold and Cu Reserve </w:t>
      </w:r>
      <w:proofErr w:type="gramStart"/>
      <w:r w:rsidRPr="00576D4B">
        <w:rPr>
          <w:rFonts w:ascii="Aptos" w:hAnsi="Aptos"/>
        </w:rPr>
        <w:t>Sign-offs</w:t>
      </w:r>
      <w:proofErr w:type="gramEnd"/>
      <w:r w:rsidRPr="00576D4B">
        <w:rPr>
          <w:rFonts w:ascii="Aptos" w:hAnsi="Aptos"/>
        </w:rPr>
        <w:t xml:space="preserve"> (Qualified Person level responsibilities where applicable)</w:t>
      </w:r>
    </w:p>
    <w:p w14:paraId="1263709F" w14:textId="77777777" w:rsidR="008C6FCF" w:rsidRPr="00576D4B" w:rsidRDefault="00000000" w:rsidP="00576D4B">
      <w:pPr>
        <w:pStyle w:val="ListBullet"/>
        <w:numPr>
          <w:ilvl w:val="0"/>
          <w:numId w:val="10"/>
        </w:numPr>
        <w:rPr>
          <w:rFonts w:ascii="Aptos" w:hAnsi="Aptos"/>
        </w:rPr>
      </w:pPr>
      <w:r w:rsidRPr="00576D4B">
        <w:rPr>
          <w:rFonts w:ascii="Aptos" w:hAnsi="Aptos"/>
        </w:rPr>
        <w:t>Permitting (Finland / Australia / Greenland)</w:t>
      </w:r>
    </w:p>
    <w:p w14:paraId="0BE44999" w14:textId="77777777" w:rsidR="008C6FCF" w:rsidRPr="00576D4B" w:rsidRDefault="00000000" w:rsidP="00576D4B">
      <w:pPr>
        <w:pStyle w:val="ListBullet"/>
        <w:numPr>
          <w:ilvl w:val="0"/>
          <w:numId w:val="10"/>
        </w:numPr>
        <w:rPr>
          <w:rFonts w:ascii="Aptos" w:hAnsi="Aptos"/>
        </w:rPr>
      </w:pPr>
      <w:r w:rsidRPr="00576D4B">
        <w:rPr>
          <w:rFonts w:ascii="Aptos" w:hAnsi="Aptos"/>
        </w:rPr>
        <w:t>Alternative Energy Options for Mining Operations</w:t>
      </w:r>
    </w:p>
    <w:p w14:paraId="4FE83126" w14:textId="77777777" w:rsidR="008C6FCF" w:rsidRPr="00576D4B" w:rsidRDefault="00000000" w:rsidP="00576D4B">
      <w:pPr>
        <w:pStyle w:val="ListBullet"/>
        <w:numPr>
          <w:ilvl w:val="0"/>
          <w:numId w:val="10"/>
        </w:numPr>
        <w:rPr>
          <w:rFonts w:ascii="Aptos" w:hAnsi="Aptos"/>
        </w:rPr>
      </w:pPr>
      <w:r w:rsidRPr="00576D4B">
        <w:rPr>
          <w:rFonts w:ascii="Aptos" w:hAnsi="Aptos"/>
        </w:rPr>
        <w:t>UG/OP Strategic Options Assessment</w:t>
      </w:r>
    </w:p>
    <w:p w14:paraId="19B24BFC" w14:textId="77777777" w:rsidR="008C6FCF" w:rsidRPr="00576D4B" w:rsidRDefault="00000000" w:rsidP="00576D4B">
      <w:pPr>
        <w:pStyle w:val="ListBullet"/>
        <w:numPr>
          <w:ilvl w:val="0"/>
          <w:numId w:val="10"/>
        </w:numPr>
        <w:rPr>
          <w:rFonts w:ascii="Aptos" w:hAnsi="Aptos"/>
        </w:rPr>
      </w:pPr>
      <w:r w:rsidRPr="00576D4B">
        <w:rPr>
          <w:rFonts w:ascii="Aptos" w:hAnsi="Aptos"/>
        </w:rPr>
        <w:t>Quantitative / Qualitative Analysis of Large Technical Data Sets</w:t>
      </w:r>
    </w:p>
    <w:p w14:paraId="6819B978" w14:textId="77777777" w:rsidR="008C6FCF" w:rsidRPr="00576D4B" w:rsidRDefault="00000000">
      <w:pPr>
        <w:pStyle w:val="Heading2"/>
        <w:rPr>
          <w:rFonts w:ascii="Aptos" w:hAnsi="Aptos"/>
        </w:rPr>
      </w:pPr>
      <w:r w:rsidRPr="00576D4B">
        <w:rPr>
          <w:rFonts w:ascii="Aptos" w:hAnsi="Aptos"/>
        </w:rPr>
        <w:t>Commodity &amp; Deposit Exposure</w:t>
      </w:r>
    </w:p>
    <w:p w14:paraId="3DED0FE7" w14:textId="77777777" w:rsidR="008C6FCF" w:rsidRPr="00576D4B" w:rsidRDefault="00000000">
      <w:pPr>
        <w:rPr>
          <w:rFonts w:ascii="Aptos" w:hAnsi="Aptos"/>
        </w:rPr>
      </w:pPr>
      <w:r w:rsidRPr="00576D4B">
        <w:rPr>
          <w:rFonts w:ascii="Aptos" w:hAnsi="Aptos"/>
        </w:rPr>
        <w:t>Gold, Copper, Nickel, Iron Ore, Zinc, Lead, REE, Graphite, Talc / Specialty clays, and other industrial minerals.</w:t>
      </w:r>
    </w:p>
    <w:p w14:paraId="4A87EC8E" w14:textId="77777777" w:rsidR="008C6FCF" w:rsidRPr="00576D4B" w:rsidRDefault="00000000">
      <w:pPr>
        <w:pStyle w:val="Heading2"/>
        <w:rPr>
          <w:rFonts w:ascii="Aptos" w:hAnsi="Aptos"/>
        </w:rPr>
      </w:pPr>
      <w:r w:rsidRPr="00576D4B">
        <w:rPr>
          <w:rFonts w:ascii="Aptos" w:hAnsi="Aptos"/>
        </w:rPr>
        <w:t>Software &amp; Methods</w:t>
      </w:r>
    </w:p>
    <w:p w14:paraId="5B8AE30B" w14:textId="77777777" w:rsidR="008C6FCF" w:rsidRPr="00576D4B" w:rsidRDefault="00000000">
      <w:pPr>
        <w:rPr>
          <w:rFonts w:ascii="Aptos" w:hAnsi="Aptos"/>
        </w:rPr>
      </w:pPr>
      <w:r w:rsidRPr="00576D4B">
        <w:rPr>
          <w:rFonts w:ascii="Aptos" w:hAnsi="Aptos"/>
        </w:rPr>
        <w:t>Planning and management tool kit includes: Geovia Suite, GoldSim, MS Project, Excel, IGrafx (IDEF0), and SAS.</w:t>
      </w:r>
    </w:p>
    <w:p w14:paraId="7A350691" w14:textId="77777777" w:rsidR="008C6FCF" w:rsidRPr="00576D4B" w:rsidRDefault="00000000">
      <w:pPr>
        <w:rPr>
          <w:rFonts w:ascii="Aptos" w:hAnsi="Aptos"/>
        </w:rPr>
      </w:pPr>
      <w:r w:rsidRPr="00576D4B">
        <w:rPr>
          <w:rFonts w:ascii="Aptos" w:hAnsi="Aptos"/>
        </w:rPr>
        <w:br w:type="page"/>
      </w:r>
    </w:p>
    <w:p w14:paraId="5F49E641" w14:textId="77777777" w:rsidR="008C6FCF" w:rsidRPr="00576D4B" w:rsidRDefault="00000000">
      <w:pPr>
        <w:pStyle w:val="Heading1"/>
        <w:rPr>
          <w:rFonts w:ascii="Aptos" w:hAnsi="Aptos"/>
        </w:rPr>
      </w:pPr>
      <w:r w:rsidRPr="00576D4B">
        <w:rPr>
          <w:rFonts w:ascii="Aptos" w:hAnsi="Aptos"/>
        </w:rPr>
        <w:lastRenderedPageBreak/>
        <w:t>Leadership</w:t>
      </w:r>
    </w:p>
    <w:p w14:paraId="311335F0" w14:textId="77777777" w:rsidR="008C6FCF" w:rsidRPr="00576D4B" w:rsidRDefault="00000000">
      <w:pPr>
        <w:rPr>
          <w:rFonts w:ascii="Aptos" w:hAnsi="Aptos"/>
        </w:rPr>
      </w:pPr>
      <w:r w:rsidRPr="00576D4B">
        <w:rPr>
          <w:rFonts w:ascii="Aptos" w:hAnsi="Aptos"/>
        </w:rPr>
        <w:t>Matara B.A. is led by Jan Dharmabandu, an international mine development project manager and studies manager with extensive experience delivering demanding mining projects and managing multidisciplinary teams. He is recognized for early identification and characterization of legal, technical, environmental, and operational risks for new developments and expansion projects, including in tropical and extreme cold environments.</w:t>
      </w:r>
    </w:p>
    <w:p w14:paraId="4909085C" w14:textId="77777777" w:rsidR="008C6FCF" w:rsidRPr="00576D4B" w:rsidRDefault="00000000">
      <w:pPr>
        <w:pStyle w:val="Heading2"/>
        <w:rPr>
          <w:rFonts w:ascii="Aptos" w:hAnsi="Aptos"/>
        </w:rPr>
      </w:pPr>
      <w:r w:rsidRPr="00576D4B">
        <w:rPr>
          <w:rFonts w:ascii="Aptos" w:hAnsi="Aptos"/>
        </w:rPr>
        <w:t>Representative Experience</w:t>
      </w:r>
    </w:p>
    <w:p w14:paraId="7A9298E5" w14:textId="77777777" w:rsidR="008C6FCF" w:rsidRPr="00576D4B" w:rsidRDefault="00000000">
      <w:pPr>
        <w:pStyle w:val="ListBullet"/>
        <w:rPr>
          <w:rFonts w:ascii="Aptos" w:hAnsi="Aptos"/>
        </w:rPr>
      </w:pPr>
      <w:r w:rsidRPr="00576D4B">
        <w:rPr>
          <w:rFonts w:ascii="Aptos" w:hAnsi="Aptos"/>
        </w:rPr>
        <w:t>Strategic assessments, reserve re-estimation and asset valuations for a senior gold producer, including NI 43-101F1-format reporting support.</w:t>
      </w:r>
    </w:p>
    <w:p w14:paraId="65008379" w14:textId="77777777" w:rsidR="008C6FCF" w:rsidRPr="00576D4B" w:rsidRDefault="00000000">
      <w:pPr>
        <w:pStyle w:val="ListBullet"/>
        <w:rPr>
          <w:rFonts w:ascii="Aptos" w:hAnsi="Aptos"/>
        </w:rPr>
      </w:pPr>
      <w:r w:rsidRPr="00576D4B">
        <w:rPr>
          <w:rFonts w:ascii="Aptos" w:hAnsi="Aptos"/>
        </w:rPr>
        <w:t>Permitting leadership and regulator engagement for Australian projects with state and federal agencies (environmental and mining approvals).</w:t>
      </w:r>
    </w:p>
    <w:p w14:paraId="5FC0A394" w14:textId="77777777" w:rsidR="008C6FCF" w:rsidRPr="00576D4B" w:rsidRDefault="00000000">
      <w:pPr>
        <w:pStyle w:val="ListBullet"/>
        <w:rPr>
          <w:rFonts w:ascii="Aptos" w:hAnsi="Aptos"/>
        </w:rPr>
      </w:pPr>
      <w:r w:rsidRPr="00576D4B">
        <w:rPr>
          <w:rFonts w:ascii="Aptos" w:hAnsi="Aptos"/>
        </w:rPr>
        <w:t>Pre-feasibility and alternative energy option assessments for an Arctic industrial minerals development project (wind, tidal, solar).</w:t>
      </w:r>
    </w:p>
    <w:p w14:paraId="7C5050CF" w14:textId="77777777" w:rsidR="008C6FCF" w:rsidRPr="00576D4B" w:rsidRDefault="00000000">
      <w:pPr>
        <w:pStyle w:val="ListBullet"/>
        <w:rPr>
          <w:rFonts w:ascii="Aptos" w:hAnsi="Aptos"/>
        </w:rPr>
      </w:pPr>
      <w:r w:rsidRPr="00576D4B">
        <w:rPr>
          <w:rFonts w:ascii="Aptos" w:hAnsi="Aptos"/>
        </w:rPr>
        <w:t>Development options assessment, re-valuation and water management planning for base metals projects.</w:t>
      </w:r>
    </w:p>
    <w:p w14:paraId="3039128E" w14:textId="77777777" w:rsidR="008C6FCF" w:rsidRPr="00576D4B" w:rsidRDefault="00000000">
      <w:pPr>
        <w:pStyle w:val="ListBullet"/>
        <w:rPr>
          <w:rFonts w:ascii="Aptos" w:hAnsi="Aptos"/>
        </w:rPr>
      </w:pPr>
      <w:r w:rsidRPr="00576D4B">
        <w:rPr>
          <w:rFonts w:ascii="Aptos" w:hAnsi="Aptos"/>
        </w:rPr>
        <w:t>Technical due diligence and divestiture support for industrial mineral assets (sell-side advisory).</w:t>
      </w:r>
    </w:p>
    <w:p w14:paraId="1889A715" w14:textId="77777777" w:rsidR="008C6FCF" w:rsidRPr="00576D4B" w:rsidRDefault="00000000">
      <w:pPr>
        <w:pStyle w:val="Heading2"/>
        <w:rPr>
          <w:rFonts w:ascii="Aptos" w:hAnsi="Aptos"/>
        </w:rPr>
      </w:pPr>
      <w:r w:rsidRPr="00576D4B">
        <w:rPr>
          <w:rFonts w:ascii="Aptos" w:hAnsi="Aptos"/>
        </w:rPr>
        <w:t>Why Matara B.A.</w:t>
      </w:r>
    </w:p>
    <w:p w14:paraId="73DB8DC4" w14:textId="77777777" w:rsidR="008C6FCF" w:rsidRPr="00576D4B" w:rsidRDefault="00000000">
      <w:pPr>
        <w:pStyle w:val="ListBullet"/>
        <w:rPr>
          <w:rFonts w:ascii="Aptos" w:hAnsi="Aptos"/>
        </w:rPr>
      </w:pPr>
      <w:r w:rsidRPr="00576D4B">
        <w:rPr>
          <w:rFonts w:ascii="Aptos" w:hAnsi="Aptos"/>
        </w:rPr>
        <w:t>Independent, conflict-free advice with board-level clarity.</w:t>
      </w:r>
    </w:p>
    <w:p w14:paraId="48DAA0CC" w14:textId="77777777" w:rsidR="008C6FCF" w:rsidRPr="00576D4B" w:rsidRDefault="00000000">
      <w:pPr>
        <w:pStyle w:val="ListBullet"/>
        <w:rPr>
          <w:rFonts w:ascii="Aptos" w:hAnsi="Aptos"/>
        </w:rPr>
      </w:pPr>
      <w:r w:rsidRPr="00576D4B">
        <w:rPr>
          <w:rFonts w:ascii="Aptos" w:hAnsi="Aptos"/>
        </w:rPr>
        <w:t>Integration of technical, financial, and permitting realities into one decision frame.</w:t>
      </w:r>
    </w:p>
    <w:p w14:paraId="0657910C" w14:textId="77777777" w:rsidR="008C6FCF" w:rsidRPr="00576D4B" w:rsidRDefault="00000000">
      <w:pPr>
        <w:pStyle w:val="ListBullet"/>
        <w:rPr>
          <w:rFonts w:ascii="Aptos" w:hAnsi="Aptos"/>
        </w:rPr>
      </w:pPr>
      <w:r w:rsidRPr="00576D4B">
        <w:rPr>
          <w:rFonts w:ascii="Aptos" w:hAnsi="Aptos"/>
        </w:rPr>
        <w:t>Strong capability in risk-based thinking (hydro-geotech, schedule, and regulatory risk).</w:t>
      </w:r>
    </w:p>
    <w:p w14:paraId="68643227" w14:textId="77777777" w:rsidR="008C6FCF" w:rsidRPr="00576D4B" w:rsidRDefault="00000000">
      <w:pPr>
        <w:pStyle w:val="ListBullet"/>
        <w:rPr>
          <w:rFonts w:ascii="Aptos" w:hAnsi="Aptos"/>
        </w:rPr>
      </w:pPr>
      <w:r w:rsidRPr="00576D4B">
        <w:rPr>
          <w:rFonts w:ascii="Aptos" w:hAnsi="Aptos"/>
        </w:rPr>
        <w:t>Proven delivery in complex jurisdictions and challenging operating environments.</w:t>
      </w:r>
    </w:p>
    <w:p w14:paraId="66E4F63B" w14:textId="77777777" w:rsidR="008C6FCF" w:rsidRPr="00576D4B" w:rsidRDefault="00000000">
      <w:pPr>
        <w:pStyle w:val="Heading2"/>
        <w:rPr>
          <w:rFonts w:ascii="Aptos" w:hAnsi="Aptos"/>
        </w:rPr>
      </w:pPr>
      <w:r w:rsidRPr="00576D4B">
        <w:rPr>
          <w:rFonts w:ascii="Aptos" w:hAnsi="Aptos"/>
        </w:rPr>
        <w:t>Corporate Information</w:t>
      </w:r>
    </w:p>
    <w:tbl>
      <w:tblPr>
        <w:tblStyle w:val="TableGrid"/>
        <w:tblW w:w="0" w:type="auto"/>
        <w:jc w:val="center"/>
        <w:tblLook w:val="04A0" w:firstRow="1" w:lastRow="0" w:firstColumn="1" w:lastColumn="0" w:noHBand="0" w:noVBand="1"/>
      </w:tblPr>
      <w:tblGrid>
        <w:gridCol w:w="4395"/>
        <w:gridCol w:w="5685"/>
      </w:tblGrid>
      <w:tr w:rsidR="008C6FCF" w:rsidRPr="00576D4B" w14:paraId="1482BEAF" w14:textId="77777777" w:rsidTr="00576D4B">
        <w:trPr>
          <w:jc w:val="center"/>
        </w:trPr>
        <w:tc>
          <w:tcPr>
            <w:tcW w:w="4395" w:type="dxa"/>
          </w:tcPr>
          <w:p w14:paraId="78C71D22" w14:textId="77777777" w:rsidR="008C6FCF" w:rsidRPr="00576D4B" w:rsidRDefault="00000000">
            <w:pPr>
              <w:rPr>
                <w:rFonts w:ascii="Aptos" w:hAnsi="Aptos"/>
              </w:rPr>
            </w:pPr>
            <w:r w:rsidRPr="00576D4B">
              <w:rPr>
                <w:rFonts w:ascii="Aptos" w:hAnsi="Aptos"/>
                <w:sz w:val="20"/>
              </w:rPr>
              <w:t>Legal entity</w:t>
            </w:r>
          </w:p>
        </w:tc>
        <w:tc>
          <w:tcPr>
            <w:tcW w:w="5685" w:type="dxa"/>
          </w:tcPr>
          <w:p w14:paraId="09B58A2E" w14:textId="77777777" w:rsidR="008C6FCF" w:rsidRPr="00576D4B" w:rsidRDefault="00000000">
            <w:pPr>
              <w:rPr>
                <w:rFonts w:ascii="Aptos" w:hAnsi="Aptos"/>
              </w:rPr>
            </w:pPr>
            <w:r w:rsidRPr="00576D4B">
              <w:rPr>
                <w:rFonts w:ascii="Aptos" w:hAnsi="Aptos"/>
                <w:sz w:val="20"/>
              </w:rPr>
              <w:t>Matara Business Advisory Pty Ltd</w:t>
            </w:r>
          </w:p>
        </w:tc>
      </w:tr>
      <w:tr w:rsidR="008C6FCF" w:rsidRPr="00576D4B" w14:paraId="59A32AC7" w14:textId="77777777" w:rsidTr="00576D4B">
        <w:trPr>
          <w:jc w:val="center"/>
        </w:trPr>
        <w:tc>
          <w:tcPr>
            <w:tcW w:w="4395" w:type="dxa"/>
          </w:tcPr>
          <w:p w14:paraId="76DA0D59" w14:textId="77777777" w:rsidR="008C6FCF" w:rsidRPr="00576D4B" w:rsidRDefault="00000000">
            <w:pPr>
              <w:rPr>
                <w:rFonts w:ascii="Aptos" w:hAnsi="Aptos"/>
              </w:rPr>
            </w:pPr>
            <w:r w:rsidRPr="00576D4B">
              <w:rPr>
                <w:rFonts w:ascii="Aptos" w:hAnsi="Aptos"/>
                <w:sz w:val="20"/>
              </w:rPr>
              <w:t>Trading name</w:t>
            </w:r>
          </w:p>
        </w:tc>
        <w:tc>
          <w:tcPr>
            <w:tcW w:w="5685" w:type="dxa"/>
          </w:tcPr>
          <w:p w14:paraId="263EFE01" w14:textId="77777777" w:rsidR="008C6FCF" w:rsidRPr="00576D4B" w:rsidRDefault="00000000">
            <w:pPr>
              <w:rPr>
                <w:rFonts w:ascii="Aptos" w:hAnsi="Aptos"/>
              </w:rPr>
            </w:pPr>
            <w:r w:rsidRPr="00576D4B">
              <w:rPr>
                <w:rFonts w:ascii="Aptos" w:hAnsi="Aptos"/>
                <w:sz w:val="20"/>
              </w:rPr>
              <w:t>Matara B.A.</w:t>
            </w:r>
          </w:p>
        </w:tc>
      </w:tr>
      <w:tr w:rsidR="008C6FCF" w:rsidRPr="00576D4B" w14:paraId="3AF79067" w14:textId="77777777" w:rsidTr="00576D4B">
        <w:trPr>
          <w:jc w:val="center"/>
        </w:trPr>
        <w:tc>
          <w:tcPr>
            <w:tcW w:w="4395" w:type="dxa"/>
          </w:tcPr>
          <w:p w14:paraId="63ACF9E5" w14:textId="77777777" w:rsidR="008C6FCF" w:rsidRPr="00576D4B" w:rsidRDefault="00000000">
            <w:pPr>
              <w:rPr>
                <w:rFonts w:ascii="Aptos" w:hAnsi="Aptos"/>
              </w:rPr>
            </w:pPr>
            <w:r w:rsidRPr="00576D4B">
              <w:rPr>
                <w:rFonts w:ascii="Aptos" w:hAnsi="Aptos"/>
                <w:sz w:val="20"/>
              </w:rPr>
              <w:t>Country of incorporation</w:t>
            </w:r>
          </w:p>
        </w:tc>
        <w:tc>
          <w:tcPr>
            <w:tcW w:w="5685" w:type="dxa"/>
          </w:tcPr>
          <w:p w14:paraId="7DFBABB7" w14:textId="77777777" w:rsidR="008C6FCF" w:rsidRPr="00576D4B" w:rsidRDefault="00000000">
            <w:pPr>
              <w:rPr>
                <w:rFonts w:ascii="Aptos" w:hAnsi="Aptos"/>
              </w:rPr>
            </w:pPr>
            <w:r w:rsidRPr="00576D4B">
              <w:rPr>
                <w:rFonts w:ascii="Aptos" w:hAnsi="Aptos"/>
                <w:sz w:val="20"/>
              </w:rPr>
              <w:t>Australia</w:t>
            </w:r>
          </w:p>
        </w:tc>
      </w:tr>
      <w:tr w:rsidR="008C6FCF" w:rsidRPr="00576D4B" w14:paraId="63B53E92" w14:textId="77777777" w:rsidTr="00576D4B">
        <w:trPr>
          <w:jc w:val="center"/>
        </w:trPr>
        <w:tc>
          <w:tcPr>
            <w:tcW w:w="4395" w:type="dxa"/>
          </w:tcPr>
          <w:p w14:paraId="466BA240" w14:textId="77777777" w:rsidR="008C6FCF" w:rsidRPr="00576D4B" w:rsidRDefault="00000000">
            <w:pPr>
              <w:rPr>
                <w:rFonts w:ascii="Aptos" w:hAnsi="Aptos"/>
              </w:rPr>
            </w:pPr>
            <w:r w:rsidRPr="00576D4B">
              <w:rPr>
                <w:rFonts w:ascii="Aptos" w:hAnsi="Aptos"/>
                <w:sz w:val="20"/>
              </w:rPr>
              <w:t>ASIC registration</w:t>
            </w:r>
          </w:p>
        </w:tc>
        <w:tc>
          <w:tcPr>
            <w:tcW w:w="5685" w:type="dxa"/>
          </w:tcPr>
          <w:p w14:paraId="2A3C3B22" w14:textId="77777777" w:rsidR="008C6FCF" w:rsidRPr="00576D4B" w:rsidRDefault="00000000">
            <w:pPr>
              <w:rPr>
                <w:rFonts w:ascii="Aptos" w:hAnsi="Aptos"/>
              </w:rPr>
            </w:pPr>
            <w:r w:rsidRPr="00576D4B">
              <w:rPr>
                <w:rFonts w:ascii="Aptos" w:hAnsi="Aptos"/>
                <w:sz w:val="20"/>
              </w:rPr>
              <w:t>ACN 682 467 723</w:t>
            </w:r>
          </w:p>
        </w:tc>
      </w:tr>
      <w:tr w:rsidR="008C6FCF" w:rsidRPr="00576D4B" w14:paraId="7050ABE0" w14:textId="77777777" w:rsidTr="00576D4B">
        <w:trPr>
          <w:jc w:val="center"/>
        </w:trPr>
        <w:tc>
          <w:tcPr>
            <w:tcW w:w="4395" w:type="dxa"/>
          </w:tcPr>
          <w:p w14:paraId="3B2E6239" w14:textId="77777777" w:rsidR="008C6FCF" w:rsidRPr="00576D4B" w:rsidRDefault="00000000">
            <w:pPr>
              <w:rPr>
                <w:rFonts w:ascii="Aptos" w:hAnsi="Aptos"/>
              </w:rPr>
            </w:pPr>
            <w:r w:rsidRPr="00576D4B">
              <w:rPr>
                <w:rFonts w:ascii="Aptos" w:hAnsi="Aptos"/>
                <w:sz w:val="20"/>
              </w:rPr>
              <w:t>Business name holder (ABN)</w:t>
            </w:r>
          </w:p>
        </w:tc>
        <w:tc>
          <w:tcPr>
            <w:tcW w:w="5685" w:type="dxa"/>
          </w:tcPr>
          <w:p w14:paraId="7D7AEFDB" w14:textId="77777777" w:rsidR="008C6FCF" w:rsidRPr="00576D4B" w:rsidRDefault="00000000">
            <w:pPr>
              <w:rPr>
                <w:rFonts w:ascii="Aptos" w:hAnsi="Aptos"/>
              </w:rPr>
            </w:pPr>
            <w:r w:rsidRPr="00576D4B">
              <w:rPr>
                <w:rFonts w:ascii="Aptos" w:hAnsi="Aptos"/>
                <w:sz w:val="20"/>
              </w:rPr>
              <w:t>Matara Business Advisory Pty Ltd (ABN 83 682 467 723)</w:t>
            </w:r>
          </w:p>
        </w:tc>
      </w:tr>
      <w:tr w:rsidR="008C6FCF" w:rsidRPr="00576D4B" w14:paraId="0F134254" w14:textId="77777777" w:rsidTr="00576D4B">
        <w:trPr>
          <w:jc w:val="center"/>
        </w:trPr>
        <w:tc>
          <w:tcPr>
            <w:tcW w:w="4395" w:type="dxa"/>
          </w:tcPr>
          <w:p w14:paraId="61DEB260" w14:textId="77777777" w:rsidR="008C6FCF" w:rsidRPr="00576D4B" w:rsidRDefault="00000000">
            <w:pPr>
              <w:rPr>
                <w:rFonts w:ascii="Aptos" w:hAnsi="Aptos"/>
              </w:rPr>
            </w:pPr>
            <w:r w:rsidRPr="00576D4B">
              <w:rPr>
                <w:rFonts w:ascii="Aptos" w:hAnsi="Aptos"/>
                <w:sz w:val="20"/>
              </w:rPr>
              <w:t>Registered office / principal place of business</w:t>
            </w:r>
          </w:p>
        </w:tc>
        <w:tc>
          <w:tcPr>
            <w:tcW w:w="5685" w:type="dxa"/>
          </w:tcPr>
          <w:p w14:paraId="376DEC69" w14:textId="77777777" w:rsidR="008C6FCF" w:rsidRPr="00576D4B" w:rsidRDefault="00000000">
            <w:pPr>
              <w:rPr>
                <w:rFonts w:ascii="Aptos" w:hAnsi="Aptos"/>
              </w:rPr>
            </w:pPr>
            <w:r w:rsidRPr="00576D4B">
              <w:rPr>
                <w:rFonts w:ascii="Aptos" w:hAnsi="Aptos"/>
                <w:sz w:val="20"/>
              </w:rPr>
              <w:t>62 Waterford Avenue, Waterford WA 6152, Australia</w:t>
            </w:r>
          </w:p>
        </w:tc>
      </w:tr>
      <w:tr w:rsidR="008C6FCF" w:rsidRPr="00576D4B" w14:paraId="6B013B24" w14:textId="77777777" w:rsidTr="00576D4B">
        <w:trPr>
          <w:jc w:val="center"/>
        </w:trPr>
        <w:tc>
          <w:tcPr>
            <w:tcW w:w="4395" w:type="dxa"/>
          </w:tcPr>
          <w:p w14:paraId="70E43D3F" w14:textId="77777777" w:rsidR="008C6FCF" w:rsidRPr="00576D4B" w:rsidRDefault="00000000">
            <w:pPr>
              <w:rPr>
                <w:rFonts w:ascii="Aptos" w:hAnsi="Aptos"/>
              </w:rPr>
            </w:pPr>
            <w:r w:rsidRPr="00576D4B">
              <w:rPr>
                <w:rFonts w:ascii="Aptos" w:hAnsi="Aptos"/>
                <w:sz w:val="20"/>
              </w:rPr>
              <w:t>Email</w:t>
            </w:r>
          </w:p>
        </w:tc>
        <w:tc>
          <w:tcPr>
            <w:tcW w:w="5685" w:type="dxa"/>
          </w:tcPr>
          <w:p w14:paraId="7F0E8495" w14:textId="77777777" w:rsidR="008C6FCF" w:rsidRPr="00576D4B" w:rsidRDefault="00000000">
            <w:pPr>
              <w:rPr>
                <w:rFonts w:ascii="Aptos" w:hAnsi="Aptos"/>
              </w:rPr>
            </w:pPr>
            <w:r w:rsidRPr="00576D4B">
              <w:rPr>
                <w:rFonts w:ascii="Aptos" w:hAnsi="Aptos"/>
                <w:sz w:val="20"/>
              </w:rPr>
              <w:t>jan.dharmabandu@gmail.com</w:t>
            </w:r>
          </w:p>
        </w:tc>
      </w:tr>
    </w:tbl>
    <w:p w14:paraId="2946CD64" w14:textId="77777777" w:rsidR="008C6FCF" w:rsidRPr="00576D4B" w:rsidRDefault="008C6FCF">
      <w:pPr>
        <w:rPr>
          <w:rFonts w:ascii="Aptos" w:hAnsi="Aptos"/>
        </w:rPr>
      </w:pPr>
    </w:p>
    <w:sectPr w:rsidR="008C6FCF" w:rsidRPr="00576D4B" w:rsidSect="00034616">
      <w:headerReference w:type="default" r:id="rId8"/>
      <w:footerReference w:type="default" r:id="rId9"/>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FA07" w14:textId="77777777" w:rsidR="00C529F7" w:rsidRDefault="00C529F7">
      <w:pPr>
        <w:spacing w:after="0" w:line="240" w:lineRule="auto"/>
      </w:pPr>
      <w:r>
        <w:separator/>
      </w:r>
    </w:p>
  </w:endnote>
  <w:endnote w:type="continuationSeparator" w:id="0">
    <w:p w14:paraId="261EDFF2" w14:textId="77777777" w:rsidR="00C529F7" w:rsidRDefault="00C5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skoola Pota">
    <w:panose1 w:val="020B0502040204020203"/>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FCC5" w14:textId="77777777" w:rsidR="008C6FCF" w:rsidRDefault="00000000">
    <w:pPr>
      <w:pStyle w:val="Footer"/>
      <w:jc w:val="center"/>
    </w:pPr>
    <w:r>
      <w:rPr>
        <w:sz w:val="16"/>
      </w:rPr>
      <w:t>Matara B.A. | Capability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A200" w14:textId="77777777" w:rsidR="00C529F7" w:rsidRDefault="00C529F7">
      <w:pPr>
        <w:spacing w:after="0" w:line="240" w:lineRule="auto"/>
      </w:pPr>
      <w:r>
        <w:separator/>
      </w:r>
    </w:p>
  </w:footnote>
  <w:footnote w:type="continuationSeparator" w:id="0">
    <w:p w14:paraId="5DEDF8EC" w14:textId="77777777" w:rsidR="00C529F7" w:rsidRDefault="00C52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EE2C" w14:textId="77777777" w:rsidR="008C6FCF" w:rsidRDefault="008C6FCF">
    <w:pPr>
      <w:pStyle w:val="Header"/>
    </w:pPr>
  </w:p>
  <w:tbl>
    <w:tblPr>
      <w:tblW w:w="18828" w:type="dxa"/>
      <w:jc w:val="center"/>
      <w:tblLook w:val="04A0" w:firstRow="1" w:lastRow="0" w:firstColumn="1" w:lastColumn="0" w:noHBand="0" w:noVBand="1"/>
    </w:tblPr>
    <w:tblGrid>
      <w:gridCol w:w="13788"/>
      <w:gridCol w:w="5040"/>
    </w:tblGrid>
    <w:tr w:rsidR="008C6FCF" w14:paraId="13A9499E" w14:textId="77777777" w:rsidTr="00576D4B">
      <w:trPr>
        <w:jc w:val="center"/>
      </w:trPr>
      <w:tc>
        <w:tcPr>
          <w:tcW w:w="13788" w:type="dxa"/>
        </w:tcPr>
        <w:p w14:paraId="6023C9DA" w14:textId="7CBE370F" w:rsidR="008C6FCF" w:rsidRPr="00576D4B" w:rsidRDefault="00000000" w:rsidP="00576D4B">
          <w:pPr>
            <w:spacing w:after="0" w:line="240" w:lineRule="auto"/>
            <w:ind w:left="2460" w:firstLine="371"/>
            <w:jc w:val="right"/>
            <w:rPr>
              <w:color w:val="E36C0A" w:themeColor="accent6" w:themeShade="BF"/>
              <w:sz w:val="36"/>
              <w:szCs w:val="36"/>
            </w:rPr>
          </w:pPr>
          <w:r w:rsidRPr="00576D4B">
            <w:rPr>
              <w:b/>
              <w:color w:val="E36C0A" w:themeColor="accent6" w:themeShade="BF"/>
              <w:sz w:val="36"/>
              <w:szCs w:val="36"/>
            </w:rPr>
            <w:t>MATARA B.A.</w:t>
          </w:r>
        </w:p>
        <w:p w14:paraId="6C79D279" w14:textId="77777777" w:rsidR="008C6FCF" w:rsidRDefault="00000000" w:rsidP="00576D4B">
          <w:pPr>
            <w:spacing w:after="0" w:line="240" w:lineRule="auto"/>
            <w:jc w:val="right"/>
            <w:rPr>
              <w:b/>
              <w:bCs/>
              <w:sz w:val="24"/>
              <w:szCs w:val="24"/>
            </w:rPr>
          </w:pPr>
          <w:r w:rsidRPr="00576D4B">
            <w:rPr>
              <w:b/>
              <w:bCs/>
              <w:sz w:val="24"/>
              <w:szCs w:val="24"/>
            </w:rPr>
            <w:t>Mineral Sector Consulting</w:t>
          </w:r>
        </w:p>
        <w:p w14:paraId="58038F0E" w14:textId="77777777" w:rsidR="00576D4B" w:rsidRPr="00576D4B" w:rsidRDefault="00576D4B" w:rsidP="00576D4B">
          <w:pPr>
            <w:spacing w:after="0" w:line="240" w:lineRule="auto"/>
            <w:jc w:val="right"/>
            <w:rPr>
              <w:b/>
              <w:bCs/>
              <w:sz w:val="24"/>
              <w:szCs w:val="24"/>
            </w:rPr>
          </w:pPr>
        </w:p>
      </w:tc>
      <w:tc>
        <w:tcPr>
          <w:tcW w:w="5040" w:type="dxa"/>
        </w:tcPr>
        <w:p w14:paraId="1B93E447" w14:textId="7009D0F7" w:rsidR="008C6FCF" w:rsidRDefault="008C6FCF">
          <w:pPr>
            <w:jc w:val="right"/>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5B31B41"/>
    <w:multiLevelType w:val="hybridMultilevel"/>
    <w:tmpl w:val="78A6013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4736915">
    <w:abstractNumId w:val="8"/>
  </w:num>
  <w:num w:numId="2" w16cid:durableId="1069041370">
    <w:abstractNumId w:val="6"/>
  </w:num>
  <w:num w:numId="3" w16cid:durableId="1745302061">
    <w:abstractNumId w:val="5"/>
  </w:num>
  <w:num w:numId="4" w16cid:durableId="1183932827">
    <w:abstractNumId w:val="4"/>
  </w:num>
  <w:num w:numId="5" w16cid:durableId="1338383329">
    <w:abstractNumId w:val="7"/>
  </w:num>
  <w:num w:numId="6" w16cid:durableId="1380589068">
    <w:abstractNumId w:val="3"/>
  </w:num>
  <w:num w:numId="7" w16cid:durableId="214586680">
    <w:abstractNumId w:val="2"/>
  </w:num>
  <w:num w:numId="8" w16cid:durableId="1741517514">
    <w:abstractNumId w:val="1"/>
  </w:num>
  <w:num w:numId="9" w16cid:durableId="2078045209">
    <w:abstractNumId w:val="0"/>
  </w:num>
  <w:num w:numId="10" w16cid:durableId="1164322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76D4B"/>
    <w:rsid w:val="008C6FCF"/>
    <w:rsid w:val="00AA1D8D"/>
    <w:rsid w:val="00B47730"/>
    <w:rsid w:val="00C529F7"/>
    <w:rsid w:val="00CB0664"/>
    <w:rsid w:val="00CF1A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E5BEF0"/>
  <w14:defaultImageDpi w14:val="300"/>
  <w15:docId w15:val="{0BF5291E-3CAE-4A99-A8A1-95916316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545</Words>
  <Characters>3843</Characters>
  <Application>Microsoft Office Word</Application>
  <DocSecurity>0</DocSecurity>
  <Lines>93</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 Dharmabandu</cp:lastModifiedBy>
  <cp:revision>2</cp:revision>
  <dcterms:created xsi:type="dcterms:W3CDTF">2013-12-23T23:15:00Z</dcterms:created>
  <dcterms:modified xsi:type="dcterms:W3CDTF">2026-03-06T04:12:00Z</dcterms:modified>
  <cp:category/>
</cp:coreProperties>
</file>